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2C1F4" w14:textId="00DFD4CC" w:rsidR="002D50AD" w:rsidRPr="00335B02" w:rsidRDefault="003C23A4" w:rsidP="00335B02">
      <w:pPr>
        <w:jc w:val="right"/>
        <w:rPr>
          <w:rFonts w:ascii="Arial" w:hAnsi="Arial" w:cs="Arial"/>
          <w:sz w:val="20"/>
          <w:szCs w:val="20"/>
          <w:lang w:val="de-DE"/>
        </w:rPr>
      </w:pPr>
      <w:r w:rsidRPr="0029723C">
        <w:rPr>
          <w:rFonts w:ascii="Arial" w:hAnsi="Arial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A8FB3" wp14:editId="6F89F108">
                <wp:simplePos x="0" y="0"/>
                <wp:positionH relativeFrom="column">
                  <wp:posOffset>-53340</wp:posOffset>
                </wp:positionH>
                <wp:positionV relativeFrom="paragraph">
                  <wp:posOffset>631190</wp:posOffset>
                </wp:positionV>
                <wp:extent cx="3657600" cy="8013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A66B" w14:textId="35EE4CC9" w:rsidR="00F216E5" w:rsidRPr="00335B02" w:rsidRDefault="00F216E5" w:rsidP="003C23A4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335B0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DE"/>
                              </w:rPr>
                              <w:t>Presse</w:t>
                            </w:r>
                            <w:r w:rsidR="00335B0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DE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A8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49.7pt;width:4in;height:63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" strokecolor="white">
                <v:textbox style="mso-fit-shape-to-text:t">
                  <w:txbxContent>
                    <w:p w14:paraId="6D7DA66B" w14:textId="35EE4CC9" w:rsidR="00F216E5" w:rsidRPr="00335B02" w:rsidRDefault="00F216E5" w:rsidP="003C23A4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DE"/>
                        </w:rPr>
                      </w:pPr>
                      <w:r w:rsidRPr="00335B02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DE"/>
                        </w:rPr>
                        <w:t>Presse</w:t>
                      </w:r>
                      <w:r w:rsidR="00335B02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DE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 w:rsidR="000D7397" w:rsidRPr="0029723C"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 wp14:anchorId="6B0470C3" wp14:editId="2466CB86">
            <wp:extent cx="1428750" cy="1200150"/>
            <wp:effectExtent l="0" t="0" r="0" b="0"/>
            <wp:docPr id="1" name="Bild 1" descr="UTA_Logo_pur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TA_Logo_pur_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98DE" w14:textId="056B6F73" w:rsidR="005E6C78" w:rsidRPr="00335B02" w:rsidRDefault="00335B02" w:rsidP="005E6C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  <w:lang w:val="de-DE"/>
        </w:rPr>
      </w:pPr>
      <w:r w:rsidRPr="00A41D02">
        <w:rPr>
          <w:rFonts w:ascii="Arial" w:hAnsi="Arial" w:cs="Arial"/>
          <w:sz w:val="22"/>
          <w:szCs w:val="22"/>
          <w:lang w:val="de-DE"/>
        </w:rPr>
        <w:t xml:space="preserve">Ansprechpartner für Rückfragen: </w:t>
      </w:r>
      <w:r w:rsidR="00277B36">
        <w:rPr>
          <w:rFonts w:ascii="Arial" w:hAnsi="Arial" w:cs="Arial"/>
          <w:sz w:val="22"/>
          <w:szCs w:val="22"/>
          <w:lang w:val="de-DE"/>
        </w:rPr>
        <w:t>Stefan Horst</w:t>
      </w:r>
      <w:r w:rsidRPr="00A41D02">
        <w:rPr>
          <w:rFonts w:ascii="Arial" w:hAnsi="Arial" w:cs="Arial"/>
          <w:sz w:val="22"/>
          <w:szCs w:val="22"/>
          <w:lang w:val="de-DE"/>
        </w:rPr>
        <w:t xml:space="preserve"> +49 6027 509-</w:t>
      </w:r>
      <w:r w:rsidRPr="001D1752">
        <w:rPr>
          <w:rFonts w:ascii="Arial" w:hAnsi="Arial" w:cs="Arial"/>
          <w:sz w:val="22"/>
          <w:szCs w:val="22"/>
          <w:lang w:val="de-DE"/>
        </w:rPr>
        <w:t>106</w:t>
      </w:r>
    </w:p>
    <w:p w14:paraId="453F94BA" w14:textId="17DDA7DE" w:rsidR="000D7397" w:rsidRDefault="000D7397" w:rsidP="000D7397">
      <w:pPr>
        <w:rPr>
          <w:rFonts w:ascii="Arial" w:hAnsi="Arial" w:cs="Arial"/>
          <w:b/>
          <w:sz w:val="36"/>
          <w:szCs w:val="36"/>
          <w:lang w:val="de-DE"/>
        </w:rPr>
      </w:pPr>
    </w:p>
    <w:p w14:paraId="51E4A1E0" w14:textId="77E0D40A" w:rsidR="006A1F33" w:rsidRDefault="00C5158C" w:rsidP="000D7397">
      <w:pPr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 xml:space="preserve">UTA baut Marktpräsenz in Osteuropa weiter aus </w:t>
      </w:r>
    </w:p>
    <w:p w14:paraId="5364B40D" w14:textId="77777777" w:rsidR="00FE08A0" w:rsidRDefault="00FE08A0" w:rsidP="00FE08A0">
      <w:pPr>
        <w:rPr>
          <w:rFonts w:ascii="Arial" w:hAnsi="Arial" w:cs="Arial"/>
          <w:b/>
          <w:sz w:val="20"/>
          <w:szCs w:val="20"/>
          <w:lang w:val="de-DE"/>
        </w:rPr>
      </w:pPr>
    </w:p>
    <w:p w14:paraId="580BA8AD" w14:textId="23657707" w:rsidR="00FE08A0" w:rsidRDefault="00FE08A0" w:rsidP="00FE08A0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de-DE"/>
        </w:rPr>
      </w:pPr>
      <w:r w:rsidRPr="00FE08A0">
        <w:rPr>
          <w:rFonts w:ascii="Arial" w:hAnsi="Arial" w:cs="Arial"/>
          <w:b/>
          <w:sz w:val="20"/>
          <w:szCs w:val="20"/>
          <w:lang w:val="de-DE"/>
        </w:rPr>
        <w:t xml:space="preserve">UTA erwirbt </w:t>
      </w:r>
      <w:r w:rsidR="00E129A4">
        <w:rPr>
          <w:rFonts w:ascii="Arial" w:hAnsi="Arial" w:cs="Arial"/>
          <w:b/>
          <w:sz w:val="20"/>
          <w:szCs w:val="20"/>
          <w:lang w:val="de-DE"/>
        </w:rPr>
        <w:t>Mehrheit</w:t>
      </w:r>
      <w:r w:rsidR="00E129A4" w:rsidRPr="00FE08A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FE08A0">
        <w:rPr>
          <w:rFonts w:ascii="Arial" w:hAnsi="Arial" w:cs="Arial"/>
          <w:b/>
          <w:sz w:val="20"/>
          <w:szCs w:val="20"/>
          <w:lang w:val="de-DE"/>
        </w:rPr>
        <w:t xml:space="preserve">an der Vertriebsagentur Timex Card SP. z o.o.  </w:t>
      </w:r>
    </w:p>
    <w:p w14:paraId="637C1706" w14:textId="7B1F464A" w:rsidR="00F14985" w:rsidRPr="00F14985" w:rsidRDefault="00F14985" w:rsidP="00F14985">
      <w:pPr>
        <w:pStyle w:val="Listenabsatz"/>
        <w:numPr>
          <w:ilvl w:val="0"/>
          <w:numId w:val="6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Weiterer Ausbau </w:t>
      </w:r>
      <w:r w:rsidR="00E129A4">
        <w:rPr>
          <w:rFonts w:ascii="Arial" w:hAnsi="Arial" w:cs="Arial"/>
          <w:b/>
          <w:lang w:val="de-DE"/>
        </w:rPr>
        <w:t>der Geschäftstätigkeiten in Polen, den Baltischen Staaten und der Ukraine</w:t>
      </w:r>
    </w:p>
    <w:p w14:paraId="514DFF63" w14:textId="77777777" w:rsidR="00FE08A0" w:rsidRPr="00FE08A0" w:rsidRDefault="00FE08A0" w:rsidP="00FE08A0">
      <w:pPr>
        <w:rPr>
          <w:rFonts w:ascii="Arial" w:hAnsi="Arial" w:cs="Arial"/>
          <w:sz w:val="20"/>
          <w:szCs w:val="20"/>
          <w:lang w:val="de-DE"/>
        </w:rPr>
      </w:pPr>
    </w:p>
    <w:p w14:paraId="348BCF95" w14:textId="2BE407DF" w:rsidR="00B17DAF" w:rsidRDefault="00FE08A0" w:rsidP="00FE08A0">
      <w:pPr>
        <w:rPr>
          <w:rFonts w:ascii="Arial" w:hAnsi="Arial" w:cs="Arial"/>
          <w:b/>
          <w:sz w:val="20"/>
          <w:szCs w:val="20"/>
          <w:lang w:val="de-DE"/>
        </w:rPr>
      </w:pPr>
      <w:r w:rsidRPr="00FE08A0">
        <w:rPr>
          <w:rFonts w:ascii="Arial" w:hAnsi="Arial" w:cs="Arial"/>
          <w:b/>
          <w:sz w:val="20"/>
          <w:szCs w:val="20"/>
          <w:lang w:val="de-DE"/>
        </w:rPr>
        <w:t xml:space="preserve">Kleinostheim – </w:t>
      </w:r>
      <w:r w:rsidR="003D268C">
        <w:rPr>
          <w:rFonts w:ascii="Arial" w:hAnsi="Arial" w:cs="Arial"/>
          <w:b/>
          <w:sz w:val="20"/>
          <w:szCs w:val="20"/>
          <w:lang w:val="de-DE"/>
        </w:rPr>
        <w:t>1</w:t>
      </w:r>
      <w:r w:rsidR="00E36FB4">
        <w:rPr>
          <w:rFonts w:ascii="Arial" w:hAnsi="Arial" w:cs="Arial"/>
          <w:b/>
          <w:sz w:val="20"/>
          <w:szCs w:val="20"/>
          <w:lang w:val="de-DE"/>
        </w:rPr>
        <w:t>2</w:t>
      </w:r>
      <w:r w:rsidRPr="00FE08A0">
        <w:rPr>
          <w:rFonts w:ascii="Arial" w:hAnsi="Arial" w:cs="Arial"/>
          <w:b/>
          <w:sz w:val="20"/>
          <w:szCs w:val="20"/>
          <w:lang w:val="de-DE"/>
        </w:rPr>
        <w:t>. Januar 201</w:t>
      </w:r>
      <w:r w:rsidR="004430AD">
        <w:rPr>
          <w:rFonts w:ascii="Arial" w:hAnsi="Arial" w:cs="Arial"/>
          <w:b/>
          <w:sz w:val="20"/>
          <w:szCs w:val="20"/>
          <w:lang w:val="de-DE"/>
        </w:rPr>
        <w:t>8</w:t>
      </w:r>
      <w:bookmarkStart w:id="0" w:name="_GoBack"/>
      <w:bookmarkEnd w:id="0"/>
      <w:r w:rsidRPr="00FE08A0">
        <w:rPr>
          <w:rFonts w:ascii="Arial" w:hAnsi="Arial" w:cs="Arial"/>
          <w:b/>
          <w:sz w:val="20"/>
          <w:szCs w:val="20"/>
          <w:lang w:val="de-DE"/>
        </w:rPr>
        <w:t>. Die UNION TANK Eckstein GmbH &amp; Co. KG (UTA) hat 51 Prozent der Firmenanteile der polnischen Vertriebsagentur Timex Card SP. z o.o.</w:t>
      </w:r>
      <w:r w:rsidR="00B17DAF">
        <w:rPr>
          <w:rFonts w:ascii="Arial" w:hAnsi="Arial" w:cs="Arial"/>
          <w:b/>
          <w:sz w:val="20"/>
          <w:szCs w:val="20"/>
          <w:lang w:val="de-DE"/>
        </w:rPr>
        <w:t xml:space="preserve"> übernommen und damit die größte Akquisition in der Unternehmensgeschichte getätigt. Damit verf</w:t>
      </w:r>
      <w:r w:rsidR="00121A52">
        <w:rPr>
          <w:rFonts w:ascii="Arial" w:hAnsi="Arial" w:cs="Arial"/>
          <w:b/>
          <w:sz w:val="20"/>
          <w:szCs w:val="20"/>
          <w:lang w:val="de-DE"/>
        </w:rPr>
        <w:t>ügt der Mobilitätsanbieter</w:t>
      </w:r>
      <w:r w:rsidR="00B17DAF">
        <w:rPr>
          <w:rFonts w:ascii="Arial" w:hAnsi="Arial" w:cs="Arial"/>
          <w:b/>
          <w:sz w:val="20"/>
          <w:szCs w:val="20"/>
          <w:lang w:val="de-DE"/>
        </w:rPr>
        <w:t xml:space="preserve"> über eine direkte </w:t>
      </w:r>
      <w:r w:rsidR="00E129A4">
        <w:rPr>
          <w:rFonts w:ascii="Arial" w:hAnsi="Arial" w:cs="Arial"/>
          <w:b/>
          <w:sz w:val="20"/>
          <w:szCs w:val="20"/>
          <w:lang w:val="de-DE"/>
        </w:rPr>
        <w:t xml:space="preserve">starke </w:t>
      </w:r>
      <w:r w:rsidR="00B17DAF">
        <w:rPr>
          <w:rFonts w:ascii="Arial" w:hAnsi="Arial" w:cs="Arial"/>
          <w:b/>
          <w:sz w:val="20"/>
          <w:szCs w:val="20"/>
          <w:lang w:val="de-DE"/>
        </w:rPr>
        <w:t xml:space="preserve">Präsenz in </w:t>
      </w:r>
      <w:r w:rsidR="00E129A4">
        <w:rPr>
          <w:rFonts w:ascii="Arial" w:hAnsi="Arial" w:cs="Arial"/>
          <w:b/>
          <w:sz w:val="20"/>
          <w:szCs w:val="20"/>
          <w:lang w:val="de-DE"/>
        </w:rPr>
        <w:t>Polen,</w:t>
      </w:r>
      <w:r w:rsidR="00B17DAF">
        <w:rPr>
          <w:rFonts w:ascii="Arial" w:hAnsi="Arial" w:cs="Arial"/>
          <w:b/>
          <w:sz w:val="20"/>
          <w:szCs w:val="20"/>
          <w:lang w:val="de-DE"/>
        </w:rPr>
        <w:t xml:space="preserve"> den Baltischen Staaten</w:t>
      </w:r>
      <w:r w:rsidR="00E129A4">
        <w:rPr>
          <w:rFonts w:ascii="Arial" w:hAnsi="Arial" w:cs="Arial"/>
          <w:b/>
          <w:sz w:val="20"/>
          <w:szCs w:val="20"/>
          <w:lang w:val="de-DE"/>
        </w:rPr>
        <w:t xml:space="preserve"> und der Ukraine</w:t>
      </w:r>
      <w:r w:rsidR="00B17DAF">
        <w:rPr>
          <w:rFonts w:ascii="Arial" w:hAnsi="Arial" w:cs="Arial"/>
          <w:b/>
          <w:sz w:val="20"/>
          <w:szCs w:val="20"/>
          <w:lang w:val="de-DE"/>
        </w:rPr>
        <w:t xml:space="preserve">. </w:t>
      </w:r>
    </w:p>
    <w:p w14:paraId="400A3419" w14:textId="77777777" w:rsidR="00FE08A0" w:rsidRPr="00FE08A0" w:rsidRDefault="00FE08A0" w:rsidP="00FE08A0">
      <w:pPr>
        <w:rPr>
          <w:rFonts w:ascii="Arial" w:hAnsi="Arial" w:cs="Arial"/>
          <w:b/>
          <w:sz w:val="20"/>
          <w:szCs w:val="20"/>
          <w:lang w:val="de-DE"/>
        </w:rPr>
      </w:pPr>
    </w:p>
    <w:p w14:paraId="3468A5D6" w14:textId="0E30640D" w:rsidR="004F5F30" w:rsidRDefault="00E129A4" w:rsidP="004F5F30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</w:t>
      </w:r>
      <w:r w:rsidR="00FE08A0" w:rsidRPr="00FE08A0">
        <w:rPr>
          <w:rFonts w:ascii="Arial" w:hAnsi="Arial" w:cs="Arial"/>
          <w:sz w:val="20"/>
          <w:szCs w:val="20"/>
          <w:lang w:val="de-DE"/>
        </w:rPr>
        <w:t xml:space="preserve">ie polnische Timex Card SP z o.o. </w:t>
      </w:r>
      <w:r>
        <w:rPr>
          <w:rFonts w:ascii="Arial" w:hAnsi="Arial" w:cs="Arial"/>
          <w:sz w:val="20"/>
          <w:szCs w:val="20"/>
          <w:lang w:val="de-DE"/>
        </w:rPr>
        <w:t xml:space="preserve">repräsentiert </w:t>
      </w:r>
      <w:r w:rsidR="00C8139C">
        <w:rPr>
          <w:rFonts w:ascii="Arial" w:hAnsi="Arial" w:cs="Arial"/>
          <w:sz w:val="20"/>
          <w:szCs w:val="20"/>
          <w:lang w:val="de-DE"/>
        </w:rPr>
        <w:t xml:space="preserve">ab sofort die UTA im </w:t>
      </w:r>
      <w:r w:rsidR="00FE08A0" w:rsidRPr="00FE08A0">
        <w:rPr>
          <w:rFonts w:ascii="Arial" w:hAnsi="Arial" w:cs="Arial"/>
          <w:sz w:val="20"/>
          <w:szCs w:val="20"/>
          <w:lang w:val="de-DE"/>
        </w:rPr>
        <w:t>polnischen, estnischen, lettischen, litauischen und ukrainischen Markt</w:t>
      </w:r>
      <w:r w:rsidR="00C8139C">
        <w:rPr>
          <w:rFonts w:ascii="Arial" w:hAnsi="Arial" w:cs="Arial"/>
          <w:sz w:val="20"/>
          <w:szCs w:val="20"/>
          <w:lang w:val="de-DE"/>
        </w:rPr>
        <w:t xml:space="preserve">. Parallel zu </w:t>
      </w:r>
      <w:r>
        <w:rPr>
          <w:rFonts w:ascii="Arial" w:hAnsi="Arial" w:cs="Arial"/>
          <w:sz w:val="20"/>
          <w:szCs w:val="20"/>
          <w:lang w:val="de-DE"/>
        </w:rPr>
        <w:t xml:space="preserve">dieser </w:t>
      </w:r>
      <w:r w:rsidR="00C8139C">
        <w:rPr>
          <w:rFonts w:ascii="Arial" w:hAnsi="Arial" w:cs="Arial"/>
          <w:sz w:val="20"/>
          <w:szCs w:val="20"/>
          <w:lang w:val="de-DE"/>
        </w:rPr>
        <w:t xml:space="preserve">Übernahme </w:t>
      </w:r>
      <w:r>
        <w:rPr>
          <w:rFonts w:ascii="Arial" w:hAnsi="Arial" w:cs="Arial"/>
          <w:sz w:val="20"/>
          <w:szCs w:val="20"/>
          <w:lang w:val="de-DE"/>
        </w:rPr>
        <w:t xml:space="preserve">verstärkt </w:t>
      </w:r>
      <w:r w:rsidR="00C8139C">
        <w:rPr>
          <w:rFonts w:ascii="Arial" w:hAnsi="Arial" w:cs="Arial"/>
          <w:sz w:val="20"/>
          <w:szCs w:val="20"/>
          <w:lang w:val="de-DE"/>
        </w:rPr>
        <w:t xml:space="preserve">der Mobilitätsdienstleister jetzt auch seine Geschäftstätigkeit in Bulgarien </w:t>
      </w:r>
      <w:r>
        <w:rPr>
          <w:rFonts w:ascii="Arial" w:hAnsi="Arial" w:cs="Arial"/>
          <w:sz w:val="20"/>
          <w:szCs w:val="20"/>
          <w:lang w:val="de-DE"/>
        </w:rPr>
        <w:t>mit dem Aufbau einer eigenen Organisation</w:t>
      </w:r>
      <w:r w:rsidR="00C8139C">
        <w:rPr>
          <w:rFonts w:ascii="Arial" w:hAnsi="Arial" w:cs="Arial"/>
          <w:sz w:val="20"/>
          <w:szCs w:val="20"/>
          <w:lang w:val="de-DE"/>
        </w:rPr>
        <w:t xml:space="preserve">. Mit dem Anteilskauf </w:t>
      </w:r>
      <w:r w:rsidR="004F5F30">
        <w:rPr>
          <w:rFonts w:ascii="Arial" w:hAnsi="Arial" w:cs="Arial"/>
          <w:sz w:val="20"/>
          <w:szCs w:val="20"/>
          <w:lang w:val="de-DE"/>
        </w:rPr>
        <w:t xml:space="preserve">weitet UTA ihre Präsenz in Mittel- und Osteuropa aus und kann die Entwicklung </w:t>
      </w:r>
      <w:r w:rsidR="00BA7A2D">
        <w:rPr>
          <w:rFonts w:ascii="Arial" w:hAnsi="Arial" w:cs="Arial"/>
          <w:sz w:val="20"/>
          <w:szCs w:val="20"/>
          <w:lang w:val="de-DE"/>
        </w:rPr>
        <w:t xml:space="preserve">ihrer </w:t>
      </w:r>
      <w:r w:rsidR="004F5F30">
        <w:rPr>
          <w:rFonts w:ascii="Arial" w:hAnsi="Arial" w:cs="Arial"/>
          <w:sz w:val="20"/>
          <w:szCs w:val="20"/>
          <w:lang w:val="de-DE"/>
        </w:rPr>
        <w:t>Produkte in dieser hochdynamischen Wachstumsr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egion </w:t>
      </w:r>
      <w:r w:rsidR="004F5F30">
        <w:rPr>
          <w:rFonts w:ascii="Arial" w:hAnsi="Arial" w:cs="Arial"/>
          <w:sz w:val="20"/>
          <w:szCs w:val="20"/>
          <w:lang w:val="de-DE"/>
        </w:rPr>
        <w:t>effizienter voran</w:t>
      </w:r>
      <w:r w:rsidR="004F5F30" w:rsidRPr="004F5F30">
        <w:rPr>
          <w:rFonts w:ascii="Arial" w:hAnsi="Arial" w:cs="Arial"/>
          <w:sz w:val="20"/>
          <w:szCs w:val="20"/>
          <w:lang w:val="de-DE"/>
        </w:rPr>
        <w:t>treiben</w:t>
      </w:r>
      <w:r w:rsidR="004F5F30">
        <w:rPr>
          <w:rFonts w:ascii="Arial" w:hAnsi="Arial" w:cs="Arial"/>
          <w:sz w:val="20"/>
          <w:szCs w:val="20"/>
          <w:lang w:val="de-DE"/>
        </w:rPr>
        <w:t>. Immerhin machen Polen,</w:t>
      </w:r>
      <w:r w:rsidR="00BA7A2D">
        <w:rPr>
          <w:rFonts w:ascii="Arial" w:hAnsi="Arial" w:cs="Arial"/>
          <w:sz w:val="20"/>
          <w:szCs w:val="20"/>
          <w:lang w:val="de-DE"/>
        </w:rPr>
        <w:t xml:space="preserve"> einer der führenden internationalen Transportmärkte Europas, </w:t>
      </w:r>
      <w:r w:rsidR="004F5F30" w:rsidRPr="004F5F30">
        <w:rPr>
          <w:rFonts w:ascii="Arial" w:hAnsi="Arial" w:cs="Arial"/>
          <w:sz w:val="20"/>
          <w:szCs w:val="20"/>
          <w:lang w:val="de-DE"/>
        </w:rPr>
        <w:t>u</w:t>
      </w:r>
      <w:r w:rsidR="004F5F30">
        <w:rPr>
          <w:rFonts w:ascii="Arial" w:hAnsi="Arial" w:cs="Arial"/>
          <w:sz w:val="20"/>
          <w:szCs w:val="20"/>
          <w:lang w:val="de-DE"/>
        </w:rPr>
        <w:t>nd die baltischen Staaten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fast 35 Prozent des europäischen Kabotage-Marktes aus (bezogen auf die Tonne pro Kilometer).</w:t>
      </w:r>
      <w:r w:rsidR="004F5F30">
        <w:rPr>
          <w:rFonts w:ascii="Arial" w:hAnsi="Arial" w:cs="Arial"/>
          <w:sz w:val="20"/>
          <w:szCs w:val="20"/>
          <w:lang w:val="de-DE"/>
        </w:rPr>
        <w:t xml:space="preserve"> </w:t>
      </w:r>
      <w:r w:rsidR="004F5F30" w:rsidRPr="004F5F30">
        <w:rPr>
          <w:rFonts w:ascii="Arial" w:hAnsi="Arial" w:cs="Arial"/>
          <w:sz w:val="20"/>
          <w:szCs w:val="20"/>
          <w:lang w:val="de-DE"/>
        </w:rPr>
        <w:t>„</w:t>
      </w:r>
      <w:r w:rsidR="00AF5E87">
        <w:rPr>
          <w:rFonts w:ascii="Arial" w:hAnsi="Arial" w:cs="Arial"/>
          <w:sz w:val="20"/>
          <w:szCs w:val="20"/>
          <w:lang w:val="de-DE"/>
        </w:rPr>
        <w:t xml:space="preserve">Durch die </w:t>
      </w:r>
      <w:r w:rsidR="00266081">
        <w:rPr>
          <w:rFonts w:ascii="Arial" w:hAnsi="Arial" w:cs="Arial"/>
          <w:sz w:val="20"/>
          <w:szCs w:val="20"/>
          <w:lang w:val="de-DE"/>
        </w:rPr>
        <w:t xml:space="preserve">Transaktion </w:t>
      </w:r>
      <w:r w:rsidR="004F5F30">
        <w:rPr>
          <w:rFonts w:ascii="Arial" w:hAnsi="Arial" w:cs="Arial"/>
          <w:sz w:val="20"/>
          <w:szCs w:val="20"/>
          <w:lang w:val="de-DE"/>
        </w:rPr>
        <w:t xml:space="preserve">sind wir noch 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näher am Kunden und können neue Produkte und Dienstleistungen noch schneller anbieten“, erklärt Volker Huber, </w:t>
      </w:r>
      <w:r w:rsidR="00B432BA">
        <w:rPr>
          <w:rFonts w:ascii="Arial" w:hAnsi="Arial" w:cs="Arial"/>
          <w:sz w:val="20"/>
          <w:szCs w:val="20"/>
          <w:lang w:val="de-DE"/>
        </w:rPr>
        <w:t>Vorsitzender der Geschäftsführung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bei UTA. „Entsprechend möchten wir mit dem Kauf auch unseren Marktanteil bei Unternehmen des gewerblichen Güterverkehrs und</w:t>
      </w:r>
      <w:r w:rsidR="00BA7A2D">
        <w:rPr>
          <w:rFonts w:ascii="Arial" w:hAnsi="Arial" w:cs="Arial"/>
          <w:sz w:val="20"/>
          <w:szCs w:val="20"/>
          <w:lang w:val="de-DE"/>
        </w:rPr>
        <w:t xml:space="preserve"> gleichzeitig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bei Pkw und Nutzfahrzeugen bis 3,5 Tonnen erhöhen.“</w:t>
      </w:r>
      <w:r w:rsidR="004F5F30">
        <w:rPr>
          <w:rFonts w:ascii="Arial" w:hAnsi="Arial" w:cs="Arial"/>
          <w:sz w:val="20"/>
          <w:szCs w:val="20"/>
          <w:lang w:val="de-DE"/>
        </w:rPr>
        <w:t xml:space="preserve"> 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Derzeit greifen in den sechs Ländern rund 1.800 Transportunternehmen auf UTA-Lösungen zurück, </w:t>
      </w:r>
      <w:r w:rsidR="00BA7A2D">
        <w:rPr>
          <w:rFonts w:ascii="Arial" w:hAnsi="Arial" w:cs="Arial"/>
          <w:sz w:val="20"/>
          <w:szCs w:val="20"/>
          <w:lang w:val="de-DE"/>
        </w:rPr>
        <w:t>die</w:t>
      </w:r>
      <w:r w:rsidR="004E7B93">
        <w:rPr>
          <w:rFonts w:ascii="Arial" w:hAnsi="Arial" w:cs="Arial"/>
          <w:sz w:val="20"/>
          <w:szCs w:val="20"/>
          <w:lang w:val="de-DE"/>
        </w:rPr>
        <w:t xml:space="preserve"> neben vielfältigen Mobilitätsdienstleistungen interoperable Maut-Lösungen umfassen und den 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Zugang zu einem Netzwerk von über </w:t>
      </w:r>
      <w:r w:rsidR="00212ED9">
        <w:rPr>
          <w:rFonts w:ascii="Arial" w:hAnsi="Arial" w:cs="Arial"/>
          <w:sz w:val="20"/>
          <w:szCs w:val="20"/>
          <w:lang w:val="de-DE"/>
        </w:rPr>
        <w:t>55.000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Akzeptanzstellen sicherstellen.</w:t>
      </w:r>
    </w:p>
    <w:p w14:paraId="1B037245" w14:textId="77777777" w:rsidR="004F5F30" w:rsidRDefault="004F5F30" w:rsidP="00EE025E">
      <w:pPr>
        <w:rPr>
          <w:rFonts w:ascii="Arial" w:hAnsi="Arial" w:cs="Arial"/>
          <w:sz w:val="20"/>
          <w:szCs w:val="20"/>
          <w:lang w:val="de-DE"/>
        </w:rPr>
      </w:pPr>
    </w:p>
    <w:p w14:paraId="4BEBDA0D" w14:textId="4F9E9F84" w:rsidR="00BA7A2D" w:rsidRPr="004F5F30" w:rsidRDefault="004E7B93" w:rsidP="00EE025E">
      <w:pPr>
        <w:rPr>
          <w:rFonts w:ascii="Arial" w:hAnsi="Arial" w:cs="Arial"/>
          <w:sz w:val="20"/>
          <w:szCs w:val="20"/>
          <w:lang w:val="de-DE"/>
        </w:rPr>
      </w:pPr>
      <w:r w:rsidRPr="004E7B93">
        <w:rPr>
          <w:rFonts w:ascii="Arial" w:hAnsi="Arial" w:cs="Arial"/>
          <w:sz w:val="20"/>
          <w:szCs w:val="20"/>
          <w:lang w:val="de-DE"/>
        </w:rPr>
        <w:t>„Im Einklang mit unserer Entwicklungsstrategie für Flotten- und Mobilitätslösungen, deren Ziel unter anderem die Ausweitung des Vertriebs von UTA-Lösungen ist, werden diese Transaktionen es uns ermöglichen, unsere Präsenz in starken Wachstumsmärkten schneller auszubauen“, sagt Antoine Dumurgier, Chief Operating Officer der Edenred Fleet &amp; Mobility Solutions.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4F5F30">
        <w:rPr>
          <w:rFonts w:ascii="Arial" w:hAnsi="Arial" w:cs="Arial"/>
          <w:sz w:val="20"/>
          <w:szCs w:val="20"/>
          <w:lang w:val="de-DE"/>
        </w:rPr>
        <w:t xml:space="preserve">Aber nicht nur UTA, sondern auch die polnische Vertriebsagentur Timex Card profitiert von der Übernahme: 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„Durch die Kombination von Edenreds starker Marktpräsenz mit </w:t>
      </w:r>
      <w:r w:rsidR="008175A3">
        <w:rPr>
          <w:rFonts w:ascii="Arial" w:hAnsi="Arial" w:cs="Arial"/>
          <w:sz w:val="20"/>
          <w:szCs w:val="20"/>
          <w:lang w:val="de-DE"/>
        </w:rPr>
        <w:t>den hochqualitativen Lösungen von UTA und der langjährigen Branchenerfahrung von Timex Card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</w:t>
      </w:r>
      <w:r w:rsidR="008175A3">
        <w:rPr>
          <w:rFonts w:ascii="Arial" w:hAnsi="Arial" w:cs="Arial"/>
          <w:sz w:val="20"/>
          <w:szCs w:val="20"/>
          <w:lang w:val="de-DE"/>
        </w:rPr>
        <w:t>bekommen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wir einen wichtigen Hebel</w:t>
      </w:r>
      <w:r w:rsidR="008175A3">
        <w:rPr>
          <w:rFonts w:ascii="Arial" w:hAnsi="Arial" w:cs="Arial"/>
          <w:sz w:val="20"/>
          <w:szCs w:val="20"/>
          <w:lang w:val="de-DE"/>
        </w:rPr>
        <w:t xml:space="preserve"> an die Hand</w:t>
      </w:r>
      <w:r w:rsidR="004F5F30" w:rsidRPr="004F5F30">
        <w:rPr>
          <w:rFonts w:ascii="Arial" w:hAnsi="Arial" w:cs="Arial"/>
          <w:sz w:val="20"/>
          <w:szCs w:val="20"/>
          <w:lang w:val="de-DE"/>
        </w:rPr>
        <w:t>, um neu</w:t>
      </w:r>
      <w:r w:rsidR="00A24DBA">
        <w:rPr>
          <w:rFonts w:ascii="Arial" w:hAnsi="Arial" w:cs="Arial"/>
          <w:sz w:val="20"/>
          <w:szCs w:val="20"/>
          <w:lang w:val="de-DE"/>
        </w:rPr>
        <w:t>e Chancen wahrnehmen zu können“,</w:t>
      </w:r>
      <w:r w:rsidR="004F5F30" w:rsidRPr="004F5F30">
        <w:rPr>
          <w:rFonts w:ascii="Arial" w:hAnsi="Arial" w:cs="Arial"/>
          <w:sz w:val="20"/>
          <w:szCs w:val="20"/>
          <w:lang w:val="de-DE"/>
        </w:rPr>
        <w:t xml:space="preserve"> erklärt Andrzej Sklodowski, Chief Executive Officer bei Timex Card.</w:t>
      </w:r>
      <w:r w:rsidR="00BA7A2D">
        <w:rPr>
          <w:rFonts w:ascii="Arial" w:hAnsi="Arial" w:cs="Arial"/>
          <w:sz w:val="20"/>
          <w:szCs w:val="20"/>
          <w:lang w:val="de-DE"/>
        </w:rPr>
        <w:t xml:space="preserve"> Die polnische Vertriebsagentur ist mittlerweile bereits </w:t>
      </w:r>
      <w:r w:rsidR="00BA7A2D" w:rsidRPr="00BA7A2D">
        <w:rPr>
          <w:rFonts w:ascii="Arial" w:hAnsi="Arial" w:cs="Arial"/>
          <w:sz w:val="20"/>
          <w:szCs w:val="20"/>
          <w:lang w:val="de-DE"/>
        </w:rPr>
        <w:t>seit über 25 Jahren auf dem polnischen Markt und seit mehr als zehn Jahren in den Baltischen Staate</w:t>
      </w:r>
      <w:r w:rsidR="00BA7A2D">
        <w:rPr>
          <w:rFonts w:ascii="Arial" w:hAnsi="Arial" w:cs="Arial"/>
          <w:sz w:val="20"/>
          <w:szCs w:val="20"/>
          <w:lang w:val="de-DE"/>
        </w:rPr>
        <w:t xml:space="preserve">n und in der Ukraine tätig. </w:t>
      </w:r>
    </w:p>
    <w:p w14:paraId="01912DBF" w14:textId="34C6C3D5" w:rsidR="00C8139C" w:rsidRDefault="00C8139C" w:rsidP="00C8139C">
      <w:pPr>
        <w:rPr>
          <w:rFonts w:ascii="Arial" w:hAnsi="Arial" w:cs="Arial"/>
          <w:sz w:val="20"/>
          <w:szCs w:val="20"/>
          <w:lang w:val="de-DE"/>
        </w:rPr>
      </w:pPr>
    </w:p>
    <w:p w14:paraId="77BD8CEF" w14:textId="77777777" w:rsidR="00C5158C" w:rsidRDefault="00C5158C" w:rsidP="005A3570">
      <w:pPr>
        <w:rPr>
          <w:rFonts w:ascii="Arial" w:hAnsi="Arial" w:cs="Arial"/>
          <w:b/>
          <w:sz w:val="22"/>
          <w:szCs w:val="22"/>
          <w:lang w:val="de-DE"/>
        </w:rPr>
      </w:pPr>
    </w:p>
    <w:p w14:paraId="77C6268B" w14:textId="77777777" w:rsidR="00F14985" w:rsidRDefault="00F14985">
      <w:pPr>
        <w:spacing w:after="200" w:line="276" w:lineRule="auto"/>
        <w:rPr>
          <w:rFonts w:ascii="Arial" w:hAnsi="Arial" w:cs="Arial"/>
          <w:b/>
          <w:bCs/>
          <w:i/>
          <w:sz w:val="18"/>
          <w:szCs w:val="18"/>
          <w:lang w:val="de-DE"/>
        </w:rPr>
      </w:pPr>
      <w:r>
        <w:rPr>
          <w:rFonts w:ascii="Arial" w:hAnsi="Arial" w:cs="Arial"/>
          <w:b/>
          <w:bCs/>
          <w:i/>
          <w:sz w:val="18"/>
          <w:szCs w:val="18"/>
          <w:lang w:val="de-DE"/>
        </w:rPr>
        <w:br w:type="page"/>
      </w:r>
    </w:p>
    <w:p w14:paraId="445E4A06" w14:textId="7D1A5F47" w:rsidR="00740AD8" w:rsidRDefault="00740AD8" w:rsidP="00740AD8">
      <w:pPr>
        <w:spacing w:line="276" w:lineRule="auto"/>
        <w:rPr>
          <w:rFonts w:ascii="Arial" w:hAnsi="Arial" w:cs="Arial"/>
          <w:b/>
          <w:bCs/>
          <w:i/>
          <w:sz w:val="18"/>
          <w:szCs w:val="18"/>
          <w:lang w:val="de-DE"/>
        </w:rPr>
      </w:pPr>
      <w:r>
        <w:rPr>
          <w:rFonts w:ascii="Arial" w:hAnsi="Arial" w:cs="Arial"/>
          <w:b/>
          <w:bCs/>
          <w:i/>
          <w:sz w:val="18"/>
          <w:szCs w:val="18"/>
          <w:lang w:val="de-DE"/>
        </w:rPr>
        <w:lastRenderedPageBreak/>
        <w:t xml:space="preserve">Über UNION TANK Eckstein </w:t>
      </w:r>
    </w:p>
    <w:p w14:paraId="346783AC" w14:textId="00051A01" w:rsidR="002E10B2" w:rsidRPr="00332C09" w:rsidRDefault="00F8454B" w:rsidP="00332C09">
      <w:pPr>
        <w:tabs>
          <w:tab w:val="left" w:pos="200"/>
        </w:tabs>
        <w:spacing w:line="276" w:lineRule="auto"/>
        <w:jc w:val="both"/>
        <w:rPr>
          <w:rFonts w:ascii="Arial" w:eastAsia="Times New Roman" w:hAnsi="Arial" w:cs="Arial"/>
          <w:b/>
          <w:color w:val="2A6CAF"/>
          <w:sz w:val="18"/>
          <w:szCs w:val="18"/>
          <w:lang w:val="de-DE"/>
        </w:rPr>
      </w:pPr>
      <w:r w:rsidRPr="00512648">
        <w:rPr>
          <w:rFonts w:ascii="Arial" w:hAnsi="Arial" w:cs="Arial"/>
          <w:bCs/>
          <w:i/>
          <w:sz w:val="18"/>
          <w:szCs w:val="18"/>
          <w:lang w:val="de-DE"/>
        </w:rPr>
        <w:t xml:space="preserve">UNION TANK Eckstein GmbH &amp; Co. </w:t>
      </w:r>
      <w:r>
        <w:rPr>
          <w:rFonts w:ascii="Arial" w:hAnsi="Arial" w:cs="Arial"/>
          <w:bCs/>
          <w:i/>
          <w:sz w:val="18"/>
          <w:szCs w:val="18"/>
          <w:lang w:val="de-DE"/>
        </w:rPr>
        <w:t>KG (UTA) zählt zu den führenden Anb</w:t>
      </w:r>
      <w:r w:rsidRPr="00D9284D">
        <w:rPr>
          <w:rFonts w:ascii="Arial" w:hAnsi="Arial" w:cs="Arial"/>
          <w:bCs/>
          <w:i/>
          <w:sz w:val="18"/>
          <w:szCs w:val="18"/>
          <w:lang w:val="de-DE"/>
        </w:rPr>
        <w:t xml:space="preserve">ietern von Tank- und Servicekarten in Europa. Über das UTA-Kartensystem können gewerbliche Kunden an über </w:t>
      </w:r>
      <w:r w:rsidR="00212ED9">
        <w:rPr>
          <w:rFonts w:ascii="Arial" w:hAnsi="Arial" w:cs="Arial"/>
          <w:bCs/>
          <w:i/>
          <w:sz w:val="18"/>
          <w:szCs w:val="18"/>
          <w:lang w:val="de-DE"/>
        </w:rPr>
        <w:t>55.000</w:t>
      </w:r>
      <w:r w:rsidRPr="00D9284D">
        <w:rPr>
          <w:rFonts w:ascii="Arial" w:hAnsi="Arial" w:cs="Arial"/>
          <w:bCs/>
          <w:i/>
          <w:sz w:val="18"/>
          <w:szCs w:val="18"/>
          <w:lang w:val="de-DE"/>
        </w:rPr>
        <w:t xml:space="preserve"> Sta</w:t>
      </w:r>
      <w:r>
        <w:rPr>
          <w:rFonts w:ascii="Arial" w:hAnsi="Arial" w:cs="Arial"/>
          <w:bCs/>
          <w:i/>
          <w:sz w:val="18"/>
          <w:szCs w:val="18"/>
          <w:lang w:val="de-DE"/>
        </w:rPr>
        <w:t xml:space="preserve">tionen in 40 europäischen Ländern markenunabhängig und bargeldlos tanken sowie weitere Leistungen der Unterwegsversorgung nutzen. Dazu zählen unter anderem die Mautabrechnung, Werkstattleistungen, Pannen- und Abschleppdienste sowie die Rückerstattung von Mehrwert- und Mineralölsteuer. Das Unternehmen, das 1963 von Heinrich Eckstein gegründet wurde, ist </w:t>
      </w:r>
      <w:r w:rsidRPr="0094103C">
        <w:rPr>
          <w:rFonts w:ascii="Arial" w:hAnsi="Arial" w:cs="Arial"/>
          <w:bCs/>
          <w:i/>
          <w:sz w:val="18"/>
          <w:szCs w:val="18"/>
          <w:lang w:val="de-DE"/>
        </w:rPr>
        <w:t>mehrheitl</w:t>
      </w:r>
      <w:r>
        <w:rPr>
          <w:rFonts w:ascii="Arial" w:hAnsi="Arial" w:cs="Arial"/>
          <w:bCs/>
          <w:i/>
          <w:sz w:val="18"/>
          <w:szCs w:val="18"/>
          <w:lang w:val="de-DE"/>
        </w:rPr>
        <w:t>ich im Besitz der Edenred SA (66</w:t>
      </w:r>
      <w:r w:rsidRPr="0094103C">
        <w:rPr>
          <w:rFonts w:ascii="Arial" w:hAnsi="Arial" w:cs="Arial"/>
          <w:bCs/>
          <w:i/>
          <w:sz w:val="18"/>
          <w:szCs w:val="18"/>
          <w:lang w:val="de-DE"/>
        </w:rPr>
        <w:t xml:space="preserve"> Prozent).</w:t>
      </w:r>
      <w:r w:rsidRPr="009045BF">
        <w:rPr>
          <w:rFonts w:ascii="Arial" w:hAnsi="Arial" w:cs="Arial"/>
          <w:i/>
          <w:sz w:val="18"/>
          <w:szCs w:val="18"/>
          <w:lang w:val="de-DE"/>
        </w:rPr>
        <w:t xml:space="preserve"> </w:t>
      </w:r>
      <w:r w:rsidR="00E36FB4" w:rsidRPr="00E36FB4">
        <w:rPr>
          <w:rFonts w:ascii="Arial" w:hAnsi="Arial" w:cs="Arial"/>
          <w:i/>
          <w:sz w:val="18"/>
          <w:szCs w:val="18"/>
          <w:lang w:val="de-DE"/>
        </w:rPr>
        <w:t xml:space="preserve">Edenred ist Weltmarktführer im Bereich von Bezahlservices für Unternehmen, Arbeitnehmer und Handelspartner. Die Services von Edenred schaffen für 43 Millionen Arbeitnehmer, 750.000 Unternehmen und 1,4 Millionen Handelspartner ein einzigartiges Netzwerk. </w:t>
      </w:r>
      <w:r w:rsidRPr="0094103C">
        <w:rPr>
          <w:rFonts w:ascii="Arial" w:hAnsi="Arial" w:cs="Arial"/>
          <w:bCs/>
          <w:i/>
          <w:sz w:val="18"/>
          <w:szCs w:val="18"/>
          <w:lang w:val="de-DE"/>
        </w:rPr>
        <w:t>Die Familien Eckstein und van</w:t>
      </w:r>
      <w:r>
        <w:rPr>
          <w:rFonts w:ascii="Arial" w:hAnsi="Arial" w:cs="Arial"/>
          <w:bCs/>
          <w:i/>
          <w:sz w:val="18"/>
          <w:szCs w:val="18"/>
          <w:lang w:val="de-DE"/>
        </w:rPr>
        <w:t xml:space="preserve"> Dedem halten 34 Prozent an UTA. Der Hauptsitz befindet sich in Kleinostheim/Main. UTA hat erst kürzlich den renommierten Image-Award der Fachzeitschrift VerkehrsRundschau </w:t>
      </w:r>
      <w:r w:rsidRPr="00CD47C6">
        <w:rPr>
          <w:rFonts w:ascii="Arial" w:hAnsi="Arial" w:cs="Arial"/>
          <w:bCs/>
          <w:i/>
          <w:sz w:val="18"/>
          <w:szCs w:val="18"/>
          <w:lang w:val="de-DE"/>
        </w:rPr>
        <w:t>in der Kategorie „Tankkarten“</w:t>
      </w:r>
      <w:r>
        <w:rPr>
          <w:rFonts w:ascii="Arial" w:hAnsi="Arial" w:cs="Arial"/>
          <w:bCs/>
          <w:i/>
          <w:sz w:val="18"/>
          <w:szCs w:val="18"/>
          <w:lang w:val="de-DE"/>
        </w:rPr>
        <w:t xml:space="preserve"> gewonnen, der alle zwei Jahre auf Basis einer unabhängigen Marktstudie des Marktforschungsinstituts Kleffmann vergeben wird. </w:t>
      </w:r>
      <w:hyperlink r:id="rId9" w:history="1">
        <w:r w:rsidR="002E10B2" w:rsidRPr="00371522">
          <w:rPr>
            <w:rFonts w:ascii="Arial" w:eastAsia="Times New Roman" w:hAnsi="Arial" w:cs="Arial"/>
            <w:b/>
            <w:color w:val="2A6CAF"/>
            <w:sz w:val="18"/>
            <w:szCs w:val="18"/>
            <w:lang w:val="de-DE"/>
          </w:rPr>
          <w:t>www.uta.</w:t>
        </w:r>
      </w:hyperlink>
      <w:r w:rsidR="002E10B2" w:rsidRPr="00332C09">
        <w:rPr>
          <w:rFonts w:ascii="Arial" w:eastAsia="Times New Roman" w:hAnsi="Arial" w:cs="Arial"/>
          <w:b/>
          <w:color w:val="2A6CAF"/>
          <w:sz w:val="18"/>
          <w:szCs w:val="18"/>
          <w:lang w:val="de-DE"/>
        </w:rPr>
        <w:t>com</w:t>
      </w:r>
    </w:p>
    <w:p w14:paraId="39FD3694" w14:textId="77777777" w:rsidR="00332C09" w:rsidRPr="00A41D02" w:rsidRDefault="00332C09" w:rsidP="00D63628">
      <w:pPr>
        <w:rPr>
          <w:rFonts w:ascii="Arial" w:hAnsi="Arial" w:cs="Arial"/>
          <w:color w:val="0D0D0D"/>
          <w:sz w:val="20"/>
          <w:lang w:val="de-DE"/>
        </w:rPr>
      </w:pPr>
    </w:p>
    <w:p w14:paraId="0268C925" w14:textId="77777777" w:rsidR="00D63628" w:rsidRPr="00A41D02" w:rsidRDefault="00D63628" w:rsidP="00D63628">
      <w:pPr>
        <w:rPr>
          <w:rFonts w:ascii="Arial" w:hAnsi="Arial" w:cs="Arial"/>
          <w:b/>
          <w:sz w:val="20"/>
          <w:lang w:val="de-DE"/>
        </w:rPr>
      </w:pPr>
      <w:r w:rsidRPr="00A41D02">
        <w:rPr>
          <w:rFonts w:ascii="Arial" w:hAnsi="Arial" w:cs="Arial"/>
          <w:b/>
          <w:sz w:val="20"/>
          <w:lang w:val="de-DE"/>
        </w:rPr>
        <w:t>Abdruck kostenfrei, Beleg erbeten.</w:t>
      </w:r>
    </w:p>
    <w:p w14:paraId="08F938D5" w14:textId="652569DD" w:rsidR="00D63628" w:rsidRPr="001D1752" w:rsidRDefault="00D63628" w:rsidP="00D63628">
      <w:pPr>
        <w:rPr>
          <w:rFonts w:ascii="Arial" w:hAnsi="Arial" w:cs="Arial"/>
          <w:sz w:val="20"/>
          <w:lang w:val="en-GB"/>
        </w:rPr>
      </w:pPr>
      <w:r w:rsidRPr="00617E3D">
        <w:rPr>
          <w:rFonts w:ascii="Arial" w:hAnsi="Arial"/>
          <w:sz w:val="20"/>
          <w:lang w:val="de-DE"/>
        </w:rPr>
        <w:t xml:space="preserve">UNION TANK Eckstein GmbH &amp; Co. </w:t>
      </w:r>
      <w:r w:rsidRPr="001D1752">
        <w:rPr>
          <w:rFonts w:ascii="Arial" w:hAnsi="Arial"/>
          <w:sz w:val="20"/>
          <w:lang w:val="en-GB"/>
        </w:rPr>
        <w:t xml:space="preserve">KG, </w:t>
      </w:r>
      <w:r w:rsidR="007541F7" w:rsidRPr="001D1752">
        <w:rPr>
          <w:rFonts w:ascii="Arial" w:hAnsi="Arial"/>
          <w:sz w:val="20"/>
          <w:lang w:val="en-GB"/>
        </w:rPr>
        <w:t>Stefan Horst</w:t>
      </w:r>
      <w:r w:rsidRPr="001D1752">
        <w:rPr>
          <w:rFonts w:ascii="Arial" w:hAnsi="Arial"/>
          <w:sz w:val="20"/>
          <w:lang w:val="en-GB"/>
        </w:rPr>
        <w:t xml:space="preserve">, </w:t>
      </w:r>
      <w:r w:rsidR="00FF0958" w:rsidRPr="001D1752">
        <w:rPr>
          <w:rFonts w:ascii="Arial" w:hAnsi="Arial"/>
          <w:sz w:val="20"/>
          <w:lang w:val="en-GB"/>
        </w:rPr>
        <w:t xml:space="preserve">Head of </w:t>
      </w:r>
      <w:r w:rsidRPr="001D1752">
        <w:rPr>
          <w:rFonts w:ascii="Arial" w:hAnsi="Arial"/>
          <w:sz w:val="20"/>
          <w:lang w:val="en-GB"/>
        </w:rPr>
        <w:t>Marketing</w:t>
      </w:r>
    </w:p>
    <w:p w14:paraId="5C05F32F" w14:textId="77777777" w:rsidR="00D63628" w:rsidRPr="00A41D02" w:rsidRDefault="00D63628" w:rsidP="00D63628">
      <w:pPr>
        <w:rPr>
          <w:rFonts w:ascii="Arial" w:hAnsi="Arial" w:cs="Arial"/>
          <w:sz w:val="20"/>
          <w:lang w:val="de-DE"/>
        </w:rPr>
      </w:pPr>
      <w:r w:rsidRPr="00A41D02">
        <w:rPr>
          <w:rFonts w:ascii="Arial" w:hAnsi="Arial" w:cs="Arial"/>
          <w:sz w:val="20"/>
          <w:lang w:val="de-DE"/>
        </w:rPr>
        <w:t>Heinrich-Eckstein-Straße 1, D-63801 Kleinostheim/Main, Telefon: +</w:t>
      </w:r>
      <w:r w:rsidRPr="001D1752">
        <w:rPr>
          <w:rFonts w:ascii="Arial" w:hAnsi="Arial" w:cs="Arial"/>
          <w:sz w:val="20"/>
          <w:lang w:val="de-DE"/>
        </w:rPr>
        <w:t>49 6027 509-106</w:t>
      </w:r>
    </w:p>
    <w:p w14:paraId="7A52A4F3" w14:textId="3D1C05ED" w:rsidR="00D63628" w:rsidRPr="00335B02" w:rsidRDefault="006776A2" w:rsidP="00D6362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0"/>
          <w:lang w:val="de-DE"/>
        </w:rPr>
        <w:t xml:space="preserve">E-Mail: </w:t>
      </w:r>
      <w:r w:rsidRPr="001D1752">
        <w:rPr>
          <w:rFonts w:ascii="Arial" w:hAnsi="Arial" w:cs="Arial"/>
          <w:sz w:val="20"/>
          <w:lang w:val="de-DE"/>
        </w:rPr>
        <w:t>stefan</w:t>
      </w:r>
      <w:r w:rsidR="00D63628" w:rsidRPr="001D1752">
        <w:rPr>
          <w:rFonts w:ascii="Arial" w:hAnsi="Arial" w:cs="Arial"/>
          <w:sz w:val="20"/>
          <w:lang w:val="de-DE"/>
        </w:rPr>
        <w:t>.</w:t>
      </w:r>
      <w:r w:rsidRPr="001D1752">
        <w:rPr>
          <w:rFonts w:ascii="Arial" w:hAnsi="Arial" w:cs="Arial"/>
          <w:sz w:val="20"/>
          <w:lang w:val="de-DE"/>
        </w:rPr>
        <w:t>horst</w:t>
      </w:r>
      <w:r w:rsidR="00D63628" w:rsidRPr="001D1752">
        <w:rPr>
          <w:rFonts w:ascii="Arial" w:hAnsi="Arial" w:cs="Arial"/>
          <w:sz w:val="20"/>
          <w:lang w:val="de-DE"/>
        </w:rPr>
        <w:t>@uta.com</w:t>
      </w:r>
    </w:p>
    <w:sectPr w:rsidR="00D63628" w:rsidRPr="00335B02" w:rsidSect="008B0E6A">
      <w:pgSz w:w="11907" w:h="16840" w:code="9"/>
      <w:pgMar w:top="136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EBD62" w14:textId="77777777" w:rsidR="00EE423C" w:rsidRDefault="00EE423C" w:rsidP="00EE423C">
      <w:r>
        <w:separator/>
      </w:r>
    </w:p>
  </w:endnote>
  <w:endnote w:type="continuationSeparator" w:id="0">
    <w:p w14:paraId="44BA2D31" w14:textId="77777777" w:rsidR="00EE423C" w:rsidRDefault="00EE423C" w:rsidP="00EE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06AD" w14:textId="77777777" w:rsidR="00EE423C" w:rsidRDefault="00EE423C" w:rsidP="00EE423C">
      <w:r>
        <w:separator/>
      </w:r>
    </w:p>
  </w:footnote>
  <w:footnote w:type="continuationSeparator" w:id="0">
    <w:p w14:paraId="3080AECD" w14:textId="77777777" w:rsidR="00EE423C" w:rsidRDefault="00EE423C" w:rsidP="00EE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CED"/>
    <w:multiLevelType w:val="hybridMultilevel"/>
    <w:tmpl w:val="77A8CBBA"/>
    <w:lvl w:ilvl="0" w:tplc="434C0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4B84"/>
    <w:multiLevelType w:val="hybridMultilevel"/>
    <w:tmpl w:val="B8EA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3630"/>
    <w:multiLevelType w:val="hybridMultilevel"/>
    <w:tmpl w:val="371A54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F2737"/>
    <w:multiLevelType w:val="hybridMultilevel"/>
    <w:tmpl w:val="0CA0C90A"/>
    <w:lvl w:ilvl="0" w:tplc="16AAD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14034"/>
    <w:multiLevelType w:val="hybridMultilevel"/>
    <w:tmpl w:val="A74A7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B3CE4"/>
    <w:multiLevelType w:val="hybridMultilevel"/>
    <w:tmpl w:val="D4569390"/>
    <w:lvl w:ilvl="0" w:tplc="3A74C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97"/>
    <w:rsid w:val="000047A8"/>
    <w:rsid w:val="00010E7A"/>
    <w:rsid w:val="00020ABE"/>
    <w:rsid w:val="0003601A"/>
    <w:rsid w:val="00054507"/>
    <w:rsid w:val="0006293E"/>
    <w:rsid w:val="00086A3D"/>
    <w:rsid w:val="00097D16"/>
    <w:rsid w:val="000A2923"/>
    <w:rsid w:val="000D7397"/>
    <w:rsid w:val="000F0CF7"/>
    <w:rsid w:val="00115975"/>
    <w:rsid w:val="00121A52"/>
    <w:rsid w:val="001514F2"/>
    <w:rsid w:val="00151CD0"/>
    <w:rsid w:val="001534B7"/>
    <w:rsid w:val="00161BBF"/>
    <w:rsid w:val="00163057"/>
    <w:rsid w:val="00183F2B"/>
    <w:rsid w:val="00186167"/>
    <w:rsid w:val="001B5538"/>
    <w:rsid w:val="001C010C"/>
    <w:rsid w:val="001D1752"/>
    <w:rsid w:val="001E0879"/>
    <w:rsid w:val="00212ED9"/>
    <w:rsid w:val="002301C5"/>
    <w:rsid w:val="0024193C"/>
    <w:rsid w:val="00254054"/>
    <w:rsid w:val="00255E77"/>
    <w:rsid w:val="00256BBE"/>
    <w:rsid w:val="00264567"/>
    <w:rsid w:val="00266081"/>
    <w:rsid w:val="00277B36"/>
    <w:rsid w:val="00282D86"/>
    <w:rsid w:val="00295313"/>
    <w:rsid w:val="0029723C"/>
    <w:rsid w:val="002C2DE5"/>
    <w:rsid w:val="002C4DC7"/>
    <w:rsid w:val="002D50AD"/>
    <w:rsid w:val="002E10B2"/>
    <w:rsid w:val="002E26F9"/>
    <w:rsid w:val="00313517"/>
    <w:rsid w:val="00332C09"/>
    <w:rsid w:val="00335B02"/>
    <w:rsid w:val="0035332C"/>
    <w:rsid w:val="00354697"/>
    <w:rsid w:val="00371522"/>
    <w:rsid w:val="003807F7"/>
    <w:rsid w:val="00387A0A"/>
    <w:rsid w:val="003A2FF6"/>
    <w:rsid w:val="003C23A4"/>
    <w:rsid w:val="003D268C"/>
    <w:rsid w:val="003E4F1C"/>
    <w:rsid w:val="003E5D35"/>
    <w:rsid w:val="003F6FFA"/>
    <w:rsid w:val="00423081"/>
    <w:rsid w:val="004363D1"/>
    <w:rsid w:val="004430AD"/>
    <w:rsid w:val="00446134"/>
    <w:rsid w:val="0045690C"/>
    <w:rsid w:val="004626A6"/>
    <w:rsid w:val="00463619"/>
    <w:rsid w:val="0047405F"/>
    <w:rsid w:val="00486CC9"/>
    <w:rsid w:val="00491EDD"/>
    <w:rsid w:val="00494267"/>
    <w:rsid w:val="004A58CF"/>
    <w:rsid w:val="004A5A20"/>
    <w:rsid w:val="004B3703"/>
    <w:rsid w:val="004B54C0"/>
    <w:rsid w:val="004B732B"/>
    <w:rsid w:val="004C0805"/>
    <w:rsid w:val="004C4976"/>
    <w:rsid w:val="004C56B8"/>
    <w:rsid w:val="004C6B60"/>
    <w:rsid w:val="004D18E8"/>
    <w:rsid w:val="004E29C2"/>
    <w:rsid w:val="004E7B93"/>
    <w:rsid w:val="004F5F30"/>
    <w:rsid w:val="004F6BFF"/>
    <w:rsid w:val="00512648"/>
    <w:rsid w:val="0052449F"/>
    <w:rsid w:val="00536B06"/>
    <w:rsid w:val="005472AA"/>
    <w:rsid w:val="0055163E"/>
    <w:rsid w:val="00554023"/>
    <w:rsid w:val="005837E7"/>
    <w:rsid w:val="00594E10"/>
    <w:rsid w:val="005A3570"/>
    <w:rsid w:val="005A5083"/>
    <w:rsid w:val="005C09CE"/>
    <w:rsid w:val="005C7CAA"/>
    <w:rsid w:val="005E0D79"/>
    <w:rsid w:val="005E6C78"/>
    <w:rsid w:val="00604CF3"/>
    <w:rsid w:val="00606AF4"/>
    <w:rsid w:val="00610F07"/>
    <w:rsid w:val="00613B5D"/>
    <w:rsid w:val="00616CE1"/>
    <w:rsid w:val="00617E3D"/>
    <w:rsid w:val="00657E6B"/>
    <w:rsid w:val="0066398A"/>
    <w:rsid w:val="00670B40"/>
    <w:rsid w:val="00673736"/>
    <w:rsid w:val="006776A2"/>
    <w:rsid w:val="00682B0F"/>
    <w:rsid w:val="00682C65"/>
    <w:rsid w:val="00682EF2"/>
    <w:rsid w:val="006A199B"/>
    <w:rsid w:val="006A1F33"/>
    <w:rsid w:val="006B44C9"/>
    <w:rsid w:val="006B6E8E"/>
    <w:rsid w:val="006C04D6"/>
    <w:rsid w:val="006C1598"/>
    <w:rsid w:val="006C3997"/>
    <w:rsid w:val="006D077C"/>
    <w:rsid w:val="006F6FB2"/>
    <w:rsid w:val="006F74EF"/>
    <w:rsid w:val="0070381C"/>
    <w:rsid w:val="00721A6F"/>
    <w:rsid w:val="00740AD8"/>
    <w:rsid w:val="00745141"/>
    <w:rsid w:val="007541F7"/>
    <w:rsid w:val="00757EC5"/>
    <w:rsid w:val="00760DEB"/>
    <w:rsid w:val="00763CAD"/>
    <w:rsid w:val="007646ED"/>
    <w:rsid w:val="007720EE"/>
    <w:rsid w:val="00774E7B"/>
    <w:rsid w:val="00792D46"/>
    <w:rsid w:val="00795588"/>
    <w:rsid w:val="007A02D7"/>
    <w:rsid w:val="007B45B6"/>
    <w:rsid w:val="007C4892"/>
    <w:rsid w:val="007C740D"/>
    <w:rsid w:val="007D73DE"/>
    <w:rsid w:val="00804CE6"/>
    <w:rsid w:val="008130D6"/>
    <w:rsid w:val="008175A3"/>
    <w:rsid w:val="00823103"/>
    <w:rsid w:val="00827144"/>
    <w:rsid w:val="00827C4B"/>
    <w:rsid w:val="00830740"/>
    <w:rsid w:val="00845A90"/>
    <w:rsid w:val="00895061"/>
    <w:rsid w:val="008A2043"/>
    <w:rsid w:val="008A7158"/>
    <w:rsid w:val="008A753A"/>
    <w:rsid w:val="008B0E6A"/>
    <w:rsid w:val="008B44F9"/>
    <w:rsid w:val="008B7444"/>
    <w:rsid w:val="008B7A4E"/>
    <w:rsid w:val="008C605B"/>
    <w:rsid w:val="008E30BC"/>
    <w:rsid w:val="008F43F6"/>
    <w:rsid w:val="00900CED"/>
    <w:rsid w:val="00912256"/>
    <w:rsid w:val="0092518D"/>
    <w:rsid w:val="009320DC"/>
    <w:rsid w:val="00946D09"/>
    <w:rsid w:val="00954E20"/>
    <w:rsid w:val="009725B0"/>
    <w:rsid w:val="00973345"/>
    <w:rsid w:val="00977CE7"/>
    <w:rsid w:val="009820A2"/>
    <w:rsid w:val="009A2AC4"/>
    <w:rsid w:val="009C0C4F"/>
    <w:rsid w:val="00A06567"/>
    <w:rsid w:val="00A07B2C"/>
    <w:rsid w:val="00A216B0"/>
    <w:rsid w:val="00A23FAE"/>
    <w:rsid w:val="00A24DBA"/>
    <w:rsid w:val="00A405FF"/>
    <w:rsid w:val="00A40C80"/>
    <w:rsid w:val="00A41B6A"/>
    <w:rsid w:val="00A41D02"/>
    <w:rsid w:val="00A65EDF"/>
    <w:rsid w:val="00A747E5"/>
    <w:rsid w:val="00A754D8"/>
    <w:rsid w:val="00A831B3"/>
    <w:rsid w:val="00AC0314"/>
    <w:rsid w:val="00AC7AC7"/>
    <w:rsid w:val="00AD2264"/>
    <w:rsid w:val="00AE3FCA"/>
    <w:rsid w:val="00AE605B"/>
    <w:rsid w:val="00AE7B62"/>
    <w:rsid w:val="00AF2D5C"/>
    <w:rsid w:val="00AF54DA"/>
    <w:rsid w:val="00AF5E87"/>
    <w:rsid w:val="00B03C20"/>
    <w:rsid w:val="00B132D6"/>
    <w:rsid w:val="00B164D4"/>
    <w:rsid w:val="00B17DAF"/>
    <w:rsid w:val="00B432BA"/>
    <w:rsid w:val="00B705EF"/>
    <w:rsid w:val="00B80C2B"/>
    <w:rsid w:val="00B963A6"/>
    <w:rsid w:val="00BA5FE5"/>
    <w:rsid w:val="00BA7A2D"/>
    <w:rsid w:val="00BC1CF3"/>
    <w:rsid w:val="00BC7FBC"/>
    <w:rsid w:val="00BE2F6F"/>
    <w:rsid w:val="00BE4091"/>
    <w:rsid w:val="00BE7511"/>
    <w:rsid w:val="00C05DBE"/>
    <w:rsid w:val="00C22A36"/>
    <w:rsid w:val="00C40136"/>
    <w:rsid w:val="00C5158C"/>
    <w:rsid w:val="00C8139C"/>
    <w:rsid w:val="00C924CA"/>
    <w:rsid w:val="00CA6438"/>
    <w:rsid w:val="00CB0E3E"/>
    <w:rsid w:val="00CC6D42"/>
    <w:rsid w:val="00CD4FBD"/>
    <w:rsid w:val="00CD7094"/>
    <w:rsid w:val="00CE6572"/>
    <w:rsid w:val="00CE6E81"/>
    <w:rsid w:val="00CF54A5"/>
    <w:rsid w:val="00CF565C"/>
    <w:rsid w:val="00CF7771"/>
    <w:rsid w:val="00D1389A"/>
    <w:rsid w:val="00D37915"/>
    <w:rsid w:val="00D63566"/>
    <w:rsid w:val="00D63628"/>
    <w:rsid w:val="00D648A9"/>
    <w:rsid w:val="00D75DA3"/>
    <w:rsid w:val="00D8140E"/>
    <w:rsid w:val="00D82BFC"/>
    <w:rsid w:val="00D91EF1"/>
    <w:rsid w:val="00D97682"/>
    <w:rsid w:val="00DA5E03"/>
    <w:rsid w:val="00DA6CB9"/>
    <w:rsid w:val="00DB3BB9"/>
    <w:rsid w:val="00DD43D7"/>
    <w:rsid w:val="00DE122D"/>
    <w:rsid w:val="00DF248B"/>
    <w:rsid w:val="00DF3AC7"/>
    <w:rsid w:val="00DF6E6E"/>
    <w:rsid w:val="00E129A4"/>
    <w:rsid w:val="00E36FB4"/>
    <w:rsid w:val="00E44AA4"/>
    <w:rsid w:val="00E80292"/>
    <w:rsid w:val="00E83789"/>
    <w:rsid w:val="00E83B2E"/>
    <w:rsid w:val="00EA1CD6"/>
    <w:rsid w:val="00EA628F"/>
    <w:rsid w:val="00EA7C0A"/>
    <w:rsid w:val="00EB53AB"/>
    <w:rsid w:val="00EB5BF8"/>
    <w:rsid w:val="00EB78B8"/>
    <w:rsid w:val="00ED6490"/>
    <w:rsid w:val="00EE025E"/>
    <w:rsid w:val="00EE423C"/>
    <w:rsid w:val="00EE7E6B"/>
    <w:rsid w:val="00F14985"/>
    <w:rsid w:val="00F216E5"/>
    <w:rsid w:val="00F22CD4"/>
    <w:rsid w:val="00F5071F"/>
    <w:rsid w:val="00F524CD"/>
    <w:rsid w:val="00F543B1"/>
    <w:rsid w:val="00F600CE"/>
    <w:rsid w:val="00F74B97"/>
    <w:rsid w:val="00F7793F"/>
    <w:rsid w:val="00F83C03"/>
    <w:rsid w:val="00F8454B"/>
    <w:rsid w:val="00F97CE9"/>
    <w:rsid w:val="00FB4DF8"/>
    <w:rsid w:val="00FC1FDF"/>
    <w:rsid w:val="00FC62F1"/>
    <w:rsid w:val="00FD471E"/>
    <w:rsid w:val="00FE08A0"/>
    <w:rsid w:val="00FF0958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692A2"/>
  <w15:docId w15:val="{6AA8E6B0-8D04-461F-8ABD-7D5E10B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739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7397"/>
    <w:pPr>
      <w:ind w:left="720"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3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C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C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C78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1B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1BBF"/>
    <w:rPr>
      <w:rFonts w:ascii="Times New Roman" w:hAnsi="Times New Roman" w:cs="Times New Roman"/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071F"/>
    <w:rPr>
      <w:rFonts w:ascii="Calibri" w:hAnsi="Calibri" w:cs="Consolas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071F"/>
    <w:rPr>
      <w:rFonts w:ascii="Calibri" w:hAnsi="Calibri" w:cs="Consolas"/>
      <w:szCs w:val="21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42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423C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uiPriority w:val="3"/>
    <w:rsid w:val="00EE4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t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6DF0-8A32-485E-9455-E2CFD43E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EDENRED ROMANIA SRL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Jessica Mueller</cp:lastModifiedBy>
  <cp:revision>3</cp:revision>
  <cp:lastPrinted>2018-01-11T14:43:00Z</cp:lastPrinted>
  <dcterms:created xsi:type="dcterms:W3CDTF">2018-01-30T10:59:00Z</dcterms:created>
  <dcterms:modified xsi:type="dcterms:W3CDTF">2018-01-30T11:01:00Z</dcterms:modified>
</cp:coreProperties>
</file>